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08"/>
      </w:tblGrid>
      <w:tr w:rsidR="002F5239" w14:paraId="157DE261" w14:textId="77777777">
        <w:trPr>
          <w:jc w:val="center"/>
        </w:trPr>
        <w:tc>
          <w:tcPr>
            <w:tcW w:w="10008" w:type="dxa"/>
            <w:tcBorders>
              <w:top w:val="nil"/>
              <w:left w:val="nil"/>
              <w:bottom w:val="single" w:sz="6" w:space="0" w:color="B88A44"/>
              <w:right w:val="nil"/>
            </w:tcBorders>
            <w:shd w:val="clear" w:color="auto" w:fill="0B1324"/>
            <w:tcMar>
              <w:top w:w="380" w:type="dxa"/>
              <w:left w:w="0" w:type="dxa"/>
              <w:bottom w:w="360" w:type="dxa"/>
              <w:right w:w="0" w:type="dxa"/>
            </w:tcMar>
          </w:tcPr>
          <w:p w14:paraId="45940891" w14:textId="77777777" w:rsidR="002F5239" w:rsidRDefault="002F5239">
            <w:pPr>
              <w:spacing w:after="60" w:line="240" w:lineRule="auto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04"/>
              <w:gridCol w:w="5004"/>
            </w:tblGrid>
            <w:tr w:rsidR="002F5239" w14:paraId="3F3DF06E" w14:textId="77777777"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132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1984AE" w14:textId="77777777" w:rsidR="002F5239" w:rsidRDefault="00000000">
                  <w:r>
                    <w:rPr>
                      <w:rFonts w:ascii="Georgia" w:eastAsia="Georgia" w:hAnsi="Georgia"/>
                      <w:color w:val="FFFFFF"/>
                      <w:spacing w:val="90"/>
                      <w:sz w:val="36"/>
                    </w:rPr>
                    <w:t>FINACT</w:t>
                  </w:r>
                </w:p>
                <w:p w14:paraId="7D03F786" w14:textId="77777777" w:rsidR="002F5239" w:rsidRDefault="00000000">
                  <w:pPr>
                    <w:spacing w:after="0" w:line="240" w:lineRule="auto"/>
                  </w:pPr>
                  <w:r>
                    <w:rPr>
                      <w:rFonts w:eastAsia="Arial"/>
                      <w:color w:val="C89A54"/>
                      <w:spacing w:val="160"/>
                      <w:sz w:val="11"/>
                    </w:rPr>
                    <w:t>C O N S U L T A N C Y   L L C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132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BDA99" w14:textId="77777777" w:rsidR="002F5239" w:rsidRDefault="00000000">
                  <w:pPr>
                    <w:spacing w:before="80" w:after="0" w:line="240" w:lineRule="auto"/>
                    <w:jc w:val="right"/>
                  </w:pPr>
                  <w:r>
                    <w:rPr>
                      <w:rFonts w:eastAsia="Arial"/>
                      <w:color w:val="C89A54"/>
                      <w:spacing w:val="160"/>
                      <w:sz w:val="14"/>
                    </w:rPr>
                    <w:t>FREE RESOURCE</w:t>
                  </w:r>
                </w:p>
              </w:tc>
            </w:tr>
          </w:tbl>
          <w:p w14:paraId="463D856D" w14:textId="77777777" w:rsidR="002F5239" w:rsidRDefault="002F5239"/>
          <w:p w14:paraId="41347BCB" w14:textId="77777777" w:rsidR="002F5239" w:rsidRDefault="00000000">
            <w:pPr>
              <w:spacing w:before="200" w:after="0" w:line="240" w:lineRule="auto"/>
            </w:pPr>
            <w:r>
              <w:rPr>
                <w:rFonts w:ascii="Georgia" w:eastAsia="Georgia" w:hAnsi="Georgia"/>
                <w:color w:val="FFFFFF"/>
                <w:sz w:val="43"/>
              </w:rPr>
              <w:t>Corporate Tax &amp; Transfer Pricing Risk Checklist</w:t>
            </w:r>
          </w:p>
        </w:tc>
      </w:tr>
    </w:tbl>
    <w:p w14:paraId="19626F98" w14:textId="77777777" w:rsidR="002F5239" w:rsidRDefault="00000000">
      <w:pPr>
        <w:spacing w:before="360" w:after="360" w:line="288" w:lineRule="auto"/>
      </w:pPr>
      <w:r>
        <w:rPr>
          <w:rFonts w:eastAsia="Arial"/>
          <w:color w:val="667085"/>
          <w:sz w:val="19"/>
        </w:rPr>
        <w:t>For UAE businesses with a 31 December 2025 financial year-end. Work through it before you file — every line is a question the FTA can ask, and the answer is cheaper to find now than in a review.</w:t>
      </w:r>
    </w:p>
    <w:p w14:paraId="705FD137" w14:textId="77777777" w:rsidR="002F5239" w:rsidRDefault="00000000">
      <w:pPr>
        <w:keepNext/>
        <w:pBdr>
          <w:bottom w:val="single" w:sz="4" w:space="1" w:color="B88A44"/>
        </w:pBdr>
        <w:spacing w:before="100" w:after="80" w:line="240" w:lineRule="auto"/>
      </w:pPr>
      <w:r>
        <w:rPr>
          <w:rFonts w:ascii="Georgia" w:eastAsia="Georgia" w:hAnsi="Georgia"/>
          <w:color w:val="B88A44"/>
          <w:sz w:val="26"/>
        </w:rPr>
        <w:t xml:space="preserve">A  </w:t>
      </w:r>
      <w:r>
        <w:rPr>
          <w:rFonts w:eastAsia="Arial"/>
          <w:b/>
          <w:color w:val="152033"/>
          <w:spacing w:val="110"/>
          <w:sz w:val="21"/>
        </w:rPr>
        <w:t>FILING READINESS</w:t>
      </w:r>
    </w:p>
    <w:p w14:paraId="26EA1142" w14:textId="77777777" w:rsidR="002F5239" w:rsidRDefault="00000000">
      <w:pPr>
        <w:keepNext/>
        <w:spacing w:after="80" w:line="240" w:lineRule="auto"/>
        <w:ind w:left="331"/>
      </w:pPr>
      <w:r>
        <w:rPr>
          <w:rFonts w:eastAsia="Arial"/>
          <w:i/>
          <w:color w:val="8A94A6"/>
          <w:sz w:val="16"/>
        </w:rPr>
        <w:t>Applies to every taxable person.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"/>
        <w:gridCol w:w="9403"/>
      </w:tblGrid>
      <w:tr w:rsidR="002F5239" w14:paraId="0D97ABDC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5138DD42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0D8CFD4E" w14:textId="0173CED1" w:rsidR="002F5239" w:rsidRDefault="007C20B3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Do</w:t>
            </w:r>
            <w:r w:rsidR="00331A8E">
              <w:rPr>
                <w:rFonts w:eastAsia="Arial"/>
                <w:b/>
                <w:color w:val="111827"/>
                <w:sz w:val="19"/>
              </w:rPr>
              <w:t xml:space="preserve"> you</w:t>
            </w:r>
            <w:r>
              <w:rPr>
                <w:rFonts w:eastAsia="Arial"/>
                <w:b/>
                <w:color w:val="111827"/>
                <w:sz w:val="19"/>
              </w:rPr>
              <w:t xml:space="preserve"> know</w:t>
            </w:r>
            <w:r w:rsidR="00331A8E">
              <w:rPr>
                <w:rFonts w:eastAsia="Arial"/>
                <w:b/>
                <w:color w:val="111827"/>
                <w:sz w:val="19"/>
              </w:rPr>
              <w:t xml:space="preserve"> </w:t>
            </w:r>
            <w:r>
              <w:rPr>
                <w:rFonts w:eastAsia="Arial"/>
                <w:b/>
                <w:color w:val="111827"/>
                <w:sz w:val="19"/>
              </w:rPr>
              <w:t>your filing</w:t>
            </w:r>
            <w:r w:rsidR="00331A8E">
              <w:rPr>
                <w:rFonts w:eastAsia="Arial"/>
                <w:b/>
                <w:color w:val="111827"/>
                <w:sz w:val="19"/>
              </w:rPr>
              <w:t xml:space="preserve"> deadline</w:t>
            </w:r>
            <w:r>
              <w:rPr>
                <w:rFonts w:eastAsia="Arial"/>
                <w:b/>
                <w:color w:val="111827"/>
                <w:sz w:val="19"/>
              </w:rPr>
              <w:t>?</w:t>
            </w:r>
          </w:p>
          <w:p w14:paraId="74DE4205" w14:textId="2ED52A80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 xml:space="preserve">The return and the payment are both due nine months after the end of the tax period. </w:t>
            </w:r>
            <w:r w:rsidR="007C20B3" w:rsidRPr="007C20B3">
              <w:rPr>
                <w:rFonts w:eastAsia="Arial"/>
                <w:color w:val="667085"/>
                <w:sz w:val="16"/>
              </w:rPr>
              <w:t>For a 31 December 2025 year-end, that is 30 September 2026.</w:t>
            </w:r>
          </w:p>
        </w:tc>
      </w:tr>
      <w:tr w:rsidR="002F5239" w14:paraId="2204CF86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EA8DC16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7F0FDE34" w14:textId="3D204902" w:rsidR="002F5239" w:rsidRDefault="007C20B3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Are the f</w:t>
            </w:r>
            <w:r w:rsidR="00000000">
              <w:rPr>
                <w:rFonts w:eastAsia="Arial"/>
                <w:b/>
                <w:color w:val="111827"/>
                <w:sz w:val="19"/>
              </w:rPr>
              <w:t xml:space="preserve">inancial statements </w:t>
            </w:r>
            <w:r>
              <w:rPr>
                <w:rFonts w:eastAsia="Arial"/>
                <w:b/>
                <w:color w:val="111827"/>
                <w:sz w:val="19"/>
              </w:rPr>
              <w:t>final?</w:t>
            </w:r>
          </w:p>
          <w:p w14:paraId="1ECC6329" w14:textId="1046E544" w:rsidR="002F5239" w:rsidRDefault="001C7051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A</w:t>
            </w:r>
            <w:r w:rsidRPr="001C7051">
              <w:rPr>
                <w:rFonts w:eastAsia="Arial"/>
                <w:color w:val="667085"/>
                <w:sz w:val="16"/>
              </w:rPr>
              <w:t>ny subsequent changes affecting the tax computation may require the Company to file an amended Corporate Tax return</w:t>
            </w:r>
            <w:r>
              <w:rPr>
                <w:rFonts w:eastAsia="Arial"/>
                <w:color w:val="667085"/>
                <w:sz w:val="16"/>
              </w:rPr>
              <w:t>.</w:t>
            </w:r>
          </w:p>
        </w:tc>
      </w:tr>
      <w:tr w:rsidR="002F5239" w14:paraId="665282FE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2D9A00ED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08225540" w14:textId="4210DE73" w:rsidR="002F5239" w:rsidRDefault="004228A1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 xml:space="preserve">Accounting Income </w:t>
            </w:r>
            <w:r>
              <w:rPr>
                <w:rFonts w:eastAsia="Arial" w:cs="Arial"/>
                <w:b/>
                <w:color w:val="111827"/>
                <w:sz w:val="19"/>
              </w:rPr>
              <w:t>≠</w:t>
            </w:r>
            <w:r>
              <w:rPr>
                <w:rFonts w:eastAsia="Arial"/>
                <w:b/>
                <w:color w:val="111827"/>
                <w:sz w:val="19"/>
              </w:rPr>
              <w:t xml:space="preserve"> T</w:t>
            </w:r>
            <w:r>
              <w:rPr>
                <w:rFonts w:eastAsia="Arial"/>
                <w:b/>
                <w:color w:val="111827"/>
                <w:sz w:val="19"/>
              </w:rPr>
              <w:t xml:space="preserve">axable </w:t>
            </w:r>
            <w:r>
              <w:rPr>
                <w:rFonts w:eastAsia="Arial"/>
                <w:b/>
                <w:color w:val="111827"/>
                <w:sz w:val="19"/>
              </w:rPr>
              <w:t>I</w:t>
            </w:r>
            <w:r>
              <w:rPr>
                <w:rFonts w:eastAsia="Arial"/>
                <w:b/>
                <w:color w:val="111827"/>
                <w:sz w:val="19"/>
              </w:rPr>
              <w:t>ncome</w:t>
            </w:r>
            <w:r>
              <w:rPr>
                <w:rFonts w:eastAsia="Arial"/>
                <w:b/>
                <w:color w:val="111827"/>
                <w:sz w:val="19"/>
              </w:rPr>
              <w:t xml:space="preserve">. </w:t>
            </w:r>
          </w:p>
          <w:p w14:paraId="282D20DD" w14:textId="37CCACE0" w:rsidR="002F5239" w:rsidRDefault="004228A1">
            <w:pPr>
              <w:spacing w:after="100" w:line="259" w:lineRule="auto"/>
            </w:pPr>
            <w:r w:rsidRPr="004228A1">
              <w:rPr>
                <w:rFonts w:eastAsia="Arial"/>
                <w:color w:val="667085"/>
                <w:sz w:val="16"/>
              </w:rPr>
              <w:t>Have you identified adjustments between accounting profit and taxable income?</w:t>
            </w:r>
          </w:p>
        </w:tc>
      </w:tr>
      <w:tr w:rsidR="002F5239" w14:paraId="2BCA22C5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67839C5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4D4CF8D5" w14:textId="155D23EF" w:rsidR="002F5239" w:rsidRDefault="00331A8E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Are you eligible for</w:t>
            </w:r>
            <w:r w:rsidR="00000000">
              <w:rPr>
                <w:rFonts w:eastAsia="Arial"/>
                <w:b/>
                <w:color w:val="111827"/>
                <w:sz w:val="19"/>
              </w:rPr>
              <w:t xml:space="preserve"> </w:t>
            </w:r>
            <w:r>
              <w:rPr>
                <w:rFonts w:eastAsia="Arial"/>
                <w:b/>
                <w:color w:val="111827"/>
                <w:sz w:val="19"/>
              </w:rPr>
              <w:t>s</w:t>
            </w:r>
            <w:r w:rsidR="00000000">
              <w:rPr>
                <w:rFonts w:eastAsia="Arial"/>
                <w:b/>
                <w:color w:val="111827"/>
                <w:sz w:val="19"/>
              </w:rPr>
              <w:t xml:space="preserve">mall </w:t>
            </w:r>
            <w:r>
              <w:rPr>
                <w:rFonts w:eastAsia="Arial"/>
                <w:b/>
                <w:color w:val="111827"/>
                <w:sz w:val="19"/>
              </w:rPr>
              <w:t>b</w:t>
            </w:r>
            <w:r w:rsidR="00000000">
              <w:rPr>
                <w:rFonts w:eastAsia="Arial"/>
                <w:b/>
                <w:color w:val="111827"/>
                <w:sz w:val="19"/>
              </w:rPr>
              <w:t xml:space="preserve">usiness </w:t>
            </w:r>
            <w:r>
              <w:rPr>
                <w:rFonts w:eastAsia="Arial"/>
                <w:b/>
                <w:color w:val="111827"/>
                <w:sz w:val="19"/>
              </w:rPr>
              <w:t>r</w:t>
            </w:r>
            <w:r w:rsidR="00000000">
              <w:rPr>
                <w:rFonts w:eastAsia="Arial"/>
                <w:b/>
                <w:color w:val="111827"/>
                <w:sz w:val="19"/>
              </w:rPr>
              <w:t>elief?</w:t>
            </w:r>
          </w:p>
          <w:p w14:paraId="1CF2DB0C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It has a revenue threshold and a closing date, and it is claimed in the return rather than granted automatically. Electing it also parks your losses.</w:t>
            </w:r>
          </w:p>
        </w:tc>
      </w:tr>
      <w:tr w:rsidR="002F5239" w14:paraId="65224D8F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4A49704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394237D0" w14:textId="4E77719D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 xml:space="preserve">Have </w:t>
            </w:r>
            <w:r w:rsidR="007C20B3">
              <w:rPr>
                <w:rFonts w:eastAsia="Arial"/>
                <w:b/>
                <w:color w:val="111827"/>
                <w:sz w:val="19"/>
              </w:rPr>
              <w:t>you made the applicable</w:t>
            </w:r>
            <w:r>
              <w:rPr>
                <w:rFonts w:eastAsia="Arial"/>
                <w:b/>
                <w:color w:val="111827"/>
                <w:sz w:val="19"/>
              </w:rPr>
              <w:t xml:space="preserve"> </w:t>
            </w:r>
            <w:r w:rsidR="001C7051">
              <w:rPr>
                <w:rFonts w:eastAsia="Arial"/>
                <w:b/>
                <w:color w:val="111827"/>
                <w:sz w:val="19"/>
              </w:rPr>
              <w:t xml:space="preserve">tax </w:t>
            </w:r>
            <w:r>
              <w:rPr>
                <w:rFonts w:eastAsia="Arial"/>
                <w:b/>
                <w:color w:val="111827"/>
                <w:sz w:val="19"/>
              </w:rPr>
              <w:t>elections before filing?</w:t>
            </w:r>
          </w:p>
          <w:p w14:paraId="3C640BB7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Realisation basis, the transitional rules for assets held before Corporate Tax began, and tax group formation. Some of these cannot be undone.</w:t>
            </w:r>
          </w:p>
        </w:tc>
      </w:tr>
      <w:tr w:rsidR="002F5239" w14:paraId="57924F1A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70065E3C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3F5A043B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Can you support every figure in the return from your records?</w:t>
            </w:r>
          </w:p>
          <w:p w14:paraId="7B611C94" w14:textId="5ABAD824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Records must be kept and produced on request for the statutory retention period</w:t>
            </w:r>
            <w:r w:rsidR="001C7051">
              <w:rPr>
                <w:rFonts w:eastAsia="Arial"/>
                <w:color w:val="667085"/>
                <w:sz w:val="16"/>
              </w:rPr>
              <w:t>,</w:t>
            </w:r>
            <w:r>
              <w:rPr>
                <w:rFonts w:eastAsia="Arial"/>
                <w:color w:val="667085"/>
                <w:sz w:val="16"/>
              </w:rPr>
              <w:t xml:space="preserve"> including the workings behind each adjustment, not only the ledger.</w:t>
            </w:r>
          </w:p>
        </w:tc>
      </w:tr>
    </w:tbl>
    <w:p w14:paraId="22F183AB" w14:textId="77777777" w:rsidR="002F5239" w:rsidRDefault="00000000">
      <w:pPr>
        <w:keepNext/>
        <w:pBdr>
          <w:bottom w:val="single" w:sz="4" w:space="1" w:color="B88A44"/>
        </w:pBdr>
        <w:spacing w:before="100" w:after="80" w:line="240" w:lineRule="auto"/>
      </w:pPr>
      <w:r>
        <w:rPr>
          <w:rFonts w:ascii="Georgia" w:eastAsia="Georgia" w:hAnsi="Georgia"/>
          <w:color w:val="B88A44"/>
          <w:sz w:val="26"/>
        </w:rPr>
        <w:t xml:space="preserve">B  </w:t>
      </w:r>
      <w:r>
        <w:rPr>
          <w:rFonts w:eastAsia="Arial"/>
          <w:b/>
          <w:color w:val="152033"/>
          <w:spacing w:val="110"/>
          <w:sz w:val="21"/>
        </w:rPr>
        <w:t>FREE ZONE POSITION</w:t>
      </w:r>
    </w:p>
    <w:p w14:paraId="26550E31" w14:textId="77777777" w:rsidR="002F5239" w:rsidRDefault="00000000">
      <w:pPr>
        <w:keepNext/>
        <w:spacing w:after="80" w:line="240" w:lineRule="auto"/>
        <w:ind w:left="331"/>
      </w:pPr>
      <w:r>
        <w:rPr>
          <w:rFonts w:eastAsia="Arial"/>
          <w:i/>
          <w:color w:val="8A94A6"/>
          <w:sz w:val="16"/>
        </w:rPr>
        <w:t>Only if you hold a free zone licence — but then all of it applies.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"/>
        <w:gridCol w:w="9403"/>
      </w:tblGrid>
      <w:tr w:rsidR="002F5239" w14:paraId="5A1B00E1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280E23D3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41812E11" w14:textId="419129DA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 xml:space="preserve">Have you tested every condition for </w:t>
            </w:r>
            <w:r w:rsidR="001C7051">
              <w:rPr>
                <w:rFonts w:eastAsia="Arial"/>
                <w:b/>
                <w:color w:val="111827"/>
                <w:sz w:val="19"/>
              </w:rPr>
              <w:t>QFZP</w:t>
            </w:r>
            <w:r>
              <w:rPr>
                <w:rFonts w:eastAsia="Arial"/>
                <w:b/>
                <w:color w:val="111827"/>
                <w:sz w:val="19"/>
              </w:rPr>
              <w:t xml:space="preserve"> status separately?</w:t>
            </w:r>
          </w:p>
          <w:p w14:paraId="13D128E8" w14:textId="219D2C32" w:rsidR="002F5239" w:rsidRDefault="008522E4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Just</w:t>
            </w:r>
            <w:r w:rsidR="00000000">
              <w:rPr>
                <w:rFonts w:eastAsia="Arial"/>
                <w:color w:val="667085"/>
                <w:sz w:val="16"/>
              </w:rPr>
              <w:t xml:space="preserve"> </w:t>
            </w:r>
            <w:r>
              <w:rPr>
                <w:rFonts w:eastAsia="Arial"/>
                <w:color w:val="667085"/>
                <w:sz w:val="16"/>
              </w:rPr>
              <w:t>f</w:t>
            </w:r>
            <w:r w:rsidR="00000000">
              <w:rPr>
                <w:rFonts w:eastAsia="Arial"/>
                <w:color w:val="667085"/>
                <w:sz w:val="16"/>
              </w:rPr>
              <w:t xml:space="preserve">ailing one loses the 0% rate for </w:t>
            </w:r>
            <w:r w:rsidR="001C7051">
              <w:rPr>
                <w:rFonts w:eastAsia="Arial"/>
                <w:color w:val="667085"/>
                <w:sz w:val="16"/>
              </w:rPr>
              <w:t>5 years</w:t>
            </w:r>
            <w:r w:rsidR="00000000">
              <w:rPr>
                <w:rFonts w:eastAsia="Arial"/>
                <w:color w:val="667085"/>
                <w:sz w:val="16"/>
              </w:rPr>
              <w:t>.</w:t>
            </w:r>
          </w:p>
        </w:tc>
      </w:tr>
      <w:tr w:rsidR="002F5239" w14:paraId="79F2C89D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58FDA535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15B7CA8F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Is the income actually qualifying income, activity by activity?</w:t>
            </w:r>
          </w:p>
          <w:p w14:paraId="46E27D6E" w14:textId="706265A6" w:rsidR="002F5239" w:rsidRDefault="008522E4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Qualifying activities,</w:t>
            </w:r>
            <w:r w:rsidR="00000000">
              <w:rPr>
                <w:rFonts w:eastAsia="Arial"/>
                <w:color w:val="667085"/>
                <w:sz w:val="16"/>
              </w:rPr>
              <w:t xml:space="preserve"> </w:t>
            </w:r>
            <w:r w:rsidR="001C7051">
              <w:rPr>
                <w:rFonts w:eastAsia="Arial"/>
                <w:color w:val="667085"/>
                <w:sz w:val="16"/>
              </w:rPr>
              <w:t xml:space="preserve">excluded activities </w:t>
            </w:r>
            <w:r w:rsidR="00000000">
              <w:rPr>
                <w:rFonts w:eastAsia="Arial"/>
                <w:color w:val="667085"/>
                <w:sz w:val="16"/>
              </w:rPr>
              <w:t xml:space="preserve">and </w:t>
            </w:r>
            <w:r>
              <w:rPr>
                <w:rFonts w:eastAsia="Arial"/>
                <w:color w:val="667085"/>
                <w:sz w:val="16"/>
              </w:rPr>
              <w:t>applicable conditions are to be kept in mind.</w:t>
            </w:r>
            <w:r w:rsidR="00000000">
              <w:rPr>
                <w:rFonts w:eastAsia="Arial"/>
                <w:color w:val="667085"/>
                <w:sz w:val="16"/>
              </w:rPr>
              <w:t xml:space="preserve"> </w:t>
            </w:r>
          </w:p>
        </w:tc>
      </w:tr>
      <w:tr w:rsidR="002F5239" w14:paraId="24FE0E2A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72071F33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1644E496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Have you measured non-qualifying revenue against the de minimis?</w:t>
            </w:r>
          </w:p>
          <w:p w14:paraId="6C02081C" w14:textId="408C5DAF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 xml:space="preserve">It has to stay below both limits </w:t>
            </w:r>
            <w:r w:rsidR="008522E4">
              <w:rPr>
                <w:rFonts w:eastAsia="Arial"/>
                <w:color w:val="667085"/>
                <w:sz w:val="16"/>
              </w:rPr>
              <w:t>i.e.,</w:t>
            </w:r>
            <w:r>
              <w:rPr>
                <w:rFonts w:eastAsia="Arial"/>
                <w:color w:val="667085"/>
                <w:sz w:val="16"/>
              </w:rPr>
              <w:t xml:space="preserve"> a percentage of total revenue and an absolute ceiling. Breaching either ends the status.</w:t>
            </w:r>
          </w:p>
        </w:tc>
      </w:tr>
      <w:tr w:rsidR="002F5239" w14:paraId="53FB55ED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1721BA1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519AB612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Is there adequate substance in the free zone itself?</w:t>
            </w:r>
          </w:p>
          <w:p w14:paraId="3747AE6D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Core income-generating activities, assets, qualified employees and operating expenditure, located in the zone rather than at a group company elsewhere.</w:t>
            </w:r>
          </w:p>
        </w:tc>
      </w:tr>
      <w:tr w:rsidR="002F5239" w14:paraId="6059C97E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C1C4621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13BB4272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Do you have audited financial statements?</w:t>
            </w:r>
          </w:p>
          <w:p w14:paraId="11F0DCF8" w14:textId="30133863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 xml:space="preserve">A Qualifying Free Zone Person needs them </w:t>
            </w:r>
            <w:r w:rsidR="008522E4">
              <w:rPr>
                <w:rFonts w:eastAsia="Arial"/>
                <w:color w:val="667085"/>
                <w:sz w:val="16"/>
              </w:rPr>
              <w:t>mandatorily</w:t>
            </w:r>
            <w:r>
              <w:rPr>
                <w:rFonts w:eastAsia="Arial"/>
                <w:color w:val="667085"/>
                <w:sz w:val="16"/>
              </w:rPr>
              <w:t>. This is the condition most often discovered late.</w:t>
            </w:r>
          </w:p>
        </w:tc>
      </w:tr>
      <w:tr w:rsidR="002F5239" w14:paraId="0E5AC587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F93D7D6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15CC309E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Are related-party transactions priced at arm's length and documented?</w:t>
            </w:r>
          </w:p>
          <w:p w14:paraId="5571EB3F" w14:textId="6C66EDF4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Transfer pricing compliance is itself one of the conditions for the 0% rate.</w:t>
            </w:r>
          </w:p>
        </w:tc>
      </w:tr>
    </w:tbl>
    <w:p w14:paraId="4B588643" w14:textId="77777777" w:rsidR="002F5239" w:rsidRDefault="002F5239">
      <w:pPr>
        <w:pBdr>
          <w:bottom w:val="single" w:sz="4" w:space="1" w:color="D8DEE8"/>
        </w:pBdr>
        <w:spacing w:before="220"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04"/>
        <w:gridCol w:w="5004"/>
      </w:tblGrid>
      <w:tr w:rsidR="002F5239" w14:paraId="3E8EA47D" w14:textId="77777777">
        <w:trPr>
          <w:jc w:val="center"/>
        </w:trPr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1E23975A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8B98AA"/>
                <w:sz w:val="12"/>
              </w:rPr>
              <w:t>FINACT Consultancy LLC  ·  Goldcrest Executive Tower, Cluster C, Jumeirah Lake Towers, Dubai, UAE</w:t>
            </w:r>
          </w:p>
          <w:p w14:paraId="56721775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667085"/>
                <w:sz w:val="12"/>
              </w:rPr>
              <w:t>info@finactuae.com   ·   +971 50 516 4914   ·   finactuae.com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71FAD372" w14:textId="77777777" w:rsidR="002F5239" w:rsidRDefault="00000000">
            <w:pPr>
              <w:spacing w:after="0" w:line="240" w:lineRule="auto"/>
              <w:jc w:val="right"/>
            </w:pPr>
            <w:r>
              <w:rPr>
                <w:rFonts w:eastAsia="Arial"/>
                <w:color w:val="8B98AA"/>
                <w:spacing w:val="100"/>
                <w:sz w:val="13"/>
              </w:rPr>
              <w:t>PAGE 1 OF 2</w:t>
            </w:r>
          </w:p>
        </w:tc>
      </w:tr>
    </w:tbl>
    <w:p w14:paraId="014934CB" w14:textId="77777777" w:rsidR="002F5239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08"/>
      </w:tblGrid>
      <w:tr w:rsidR="002F5239" w14:paraId="6326D6BA" w14:textId="77777777">
        <w:trPr>
          <w:jc w:val="center"/>
        </w:trPr>
        <w:tc>
          <w:tcPr>
            <w:tcW w:w="10008" w:type="dxa"/>
            <w:tcBorders>
              <w:top w:val="nil"/>
              <w:left w:val="nil"/>
              <w:bottom w:val="single" w:sz="6" w:space="0" w:color="B88A44"/>
              <w:right w:val="nil"/>
            </w:tcBorders>
            <w:shd w:val="clear" w:color="auto" w:fill="0B1324"/>
            <w:tcMar>
              <w:top w:w="240" w:type="dxa"/>
              <w:left w:w="0" w:type="dxa"/>
              <w:bottom w:w="220" w:type="dxa"/>
              <w:right w:w="0" w:type="dxa"/>
            </w:tcMar>
          </w:tcPr>
          <w:p w14:paraId="707AFA01" w14:textId="77777777" w:rsidR="002F5239" w:rsidRDefault="00000000">
            <w:pPr>
              <w:spacing w:after="60" w:line="240" w:lineRule="auto"/>
            </w:pPr>
            <w:r>
              <w:rPr>
                <w:rFonts w:ascii="Georgia" w:eastAsia="Georgia" w:hAnsi="Georgia"/>
                <w:color w:val="FFFFFF"/>
                <w:spacing w:val="80"/>
                <w:sz w:val="30"/>
              </w:rPr>
              <w:lastRenderedPageBreak/>
              <w:t>FINACT</w:t>
            </w:r>
          </w:p>
          <w:p w14:paraId="38D5E34A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C89A54"/>
                <w:spacing w:val="140"/>
                <w:sz w:val="11"/>
              </w:rPr>
              <w:t>C O N S U L T A N C Y   L L C</w:t>
            </w:r>
          </w:p>
          <w:p w14:paraId="007D54B2" w14:textId="77777777" w:rsidR="002F5239" w:rsidRDefault="00000000">
            <w:pPr>
              <w:spacing w:after="0" w:line="240" w:lineRule="auto"/>
              <w:jc w:val="right"/>
            </w:pPr>
            <w:r>
              <w:rPr>
                <w:rFonts w:eastAsia="Arial"/>
                <w:color w:val="D8DDE8"/>
                <w:spacing w:val="120"/>
                <w:sz w:val="13"/>
              </w:rPr>
              <w:t>CORPORATE TAX &amp; TP RISK CHECKLIST</w:t>
            </w:r>
          </w:p>
        </w:tc>
      </w:tr>
    </w:tbl>
    <w:p w14:paraId="640881E6" w14:textId="77777777" w:rsidR="002F5239" w:rsidRDefault="00000000">
      <w:pPr>
        <w:spacing w:before="360" w:after="360" w:line="288" w:lineRule="auto"/>
      </w:pPr>
      <w:r>
        <w:rPr>
          <w:rFonts w:eastAsia="Arial"/>
          <w:color w:val="667085"/>
          <w:sz w:val="19"/>
        </w:rPr>
        <w:t>The related-party section is where UAE filings are most often thin. These are the questions to answer before the return is submitted, not after a request arrives.</w:t>
      </w:r>
    </w:p>
    <w:p w14:paraId="356C422D" w14:textId="77777777" w:rsidR="002F5239" w:rsidRDefault="00000000">
      <w:pPr>
        <w:keepNext/>
        <w:pBdr>
          <w:bottom w:val="single" w:sz="4" w:space="1" w:color="B88A44"/>
        </w:pBdr>
        <w:spacing w:before="100" w:after="80" w:line="240" w:lineRule="auto"/>
      </w:pPr>
      <w:r>
        <w:rPr>
          <w:rFonts w:ascii="Georgia" w:eastAsia="Georgia" w:hAnsi="Georgia"/>
          <w:color w:val="B88A44"/>
          <w:sz w:val="26"/>
        </w:rPr>
        <w:t xml:space="preserve">C  </w:t>
      </w:r>
      <w:r>
        <w:rPr>
          <w:rFonts w:eastAsia="Arial"/>
          <w:b/>
          <w:color w:val="152033"/>
          <w:spacing w:val="110"/>
          <w:sz w:val="21"/>
        </w:rPr>
        <w:t>RELATED PARTIES AND TRANSFER PRICING</w:t>
      </w:r>
    </w:p>
    <w:p w14:paraId="15338839" w14:textId="77777777" w:rsidR="002F5239" w:rsidRDefault="00000000">
      <w:pPr>
        <w:keepNext/>
        <w:spacing w:after="80" w:line="240" w:lineRule="auto"/>
        <w:ind w:left="331"/>
      </w:pPr>
      <w:r>
        <w:rPr>
          <w:rFonts w:eastAsia="Arial"/>
          <w:i/>
          <w:color w:val="8A94A6"/>
          <w:sz w:val="16"/>
        </w:rPr>
        <w:t>The area where UAE filings are most exposed, and the least often prepared.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"/>
        <w:gridCol w:w="9403"/>
      </w:tblGrid>
      <w:tr w:rsidR="002F5239" w14:paraId="1BB013D0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74FDBE4F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457AC11A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Have you listed every related party and connected person?</w:t>
            </w:r>
          </w:p>
          <w:p w14:paraId="114EEB93" w14:textId="33AAACF4" w:rsidR="002F5239" w:rsidRDefault="008522E4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Specifically</w:t>
            </w:r>
            <w:r w:rsidR="00000000">
              <w:rPr>
                <w:rFonts w:eastAsia="Arial"/>
                <w:color w:val="667085"/>
                <w:sz w:val="16"/>
              </w:rPr>
              <w:t>: owners and their relatives, directors and officers, and the other entities those people control.</w:t>
            </w:r>
          </w:p>
        </w:tc>
      </w:tr>
      <w:tr w:rsidR="002F5239" w14:paraId="413ED180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CF4C8E3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65CB7A63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Are the transactions priced at arm's length, and can you show the reasoning?</w:t>
            </w:r>
          </w:p>
          <w:p w14:paraId="4A232492" w14:textId="6E9BA0A8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 xml:space="preserve">The arm's length principle applies to every related-party transaction, whether or not you </w:t>
            </w:r>
            <w:r w:rsidR="008522E4">
              <w:rPr>
                <w:rFonts w:eastAsia="Arial"/>
                <w:color w:val="667085"/>
                <w:sz w:val="16"/>
              </w:rPr>
              <w:t>breach the</w:t>
            </w:r>
            <w:r>
              <w:rPr>
                <w:rFonts w:eastAsia="Arial"/>
                <w:color w:val="667085"/>
                <w:sz w:val="16"/>
              </w:rPr>
              <w:t xml:space="preserve"> threshold.</w:t>
            </w:r>
          </w:p>
        </w:tc>
      </w:tr>
      <w:tr w:rsidR="002F5239" w14:paraId="76752D4D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21F7FAE3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416092B5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Do you have to file the transfer pricing disclosure form with the return?</w:t>
            </w:r>
          </w:p>
          <w:p w14:paraId="30E90518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It is filed alongside the return when the thresholds are met, and it is where the FTA first sees the shape of your related-party dealings.</w:t>
            </w:r>
          </w:p>
        </w:tc>
      </w:tr>
      <w:tr w:rsidR="002F5239" w14:paraId="634B8CBE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857DD09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2DC751B3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Do you need a Master File and a Local File?</w:t>
            </w:r>
          </w:p>
          <w:p w14:paraId="5296190B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Required once your own revenue for the tax period, or your multinational group's consolidated revenue, reaches the stated thresholds.</w:t>
            </w:r>
          </w:p>
        </w:tc>
      </w:tr>
      <w:tr w:rsidR="002F5239" w14:paraId="63D00F8E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4633561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4D03BAB5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Could you actually produce them within 30 days?</w:t>
            </w:r>
          </w:p>
          <w:p w14:paraId="231E7DE2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That is the window once the FTA asks. A file that has to be written from scratch after the request does not arrive in time.</w:t>
            </w:r>
          </w:p>
        </w:tc>
      </w:tr>
      <w:tr w:rsidR="002F5239" w14:paraId="075CFCD9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3FF1AD3A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358F6077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Have payments to connected persons been tested against market value?</w:t>
            </w:r>
          </w:p>
          <w:p w14:paraId="58747944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Salaries, benefits and other payments to owners, directors and their relatives are deductible only to the extent they are at market value.</w:t>
            </w:r>
          </w:p>
        </w:tc>
      </w:tr>
      <w:tr w:rsidR="002F5239" w14:paraId="5E5392E5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155CCDD4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2450EBF3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Do the intercompany agreements exist in writing, and do they describe what actually happens?</w:t>
            </w:r>
          </w:p>
          <w:p w14:paraId="4F788A04" w14:textId="77777777" w:rsidR="002F5239" w:rsidRDefault="00000000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An agreement that contradicts the conduct is worse than no agreement, because it is the document you will be held to.</w:t>
            </w:r>
          </w:p>
        </w:tc>
      </w:tr>
      <w:tr w:rsidR="002F5239" w14:paraId="4667721F" w14:textId="77777777">
        <w:trPr>
          <w:jc w:val="center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737340E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B88A44"/>
                <w:sz w:val="26"/>
              </w:rPr>
              <w:t>□</w:t>
            </w:r>
          </w:p>
        </w:tc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14:paraId="2BD4E743" w14:textId="77777777" w:rsidR="002F5239" w:rsidRDefault="00000000">
            <w:pPr>
              <w:spacing w:after="20" w:line="240" w:lineRule="auto"/>
            </w:pPr>
            <w:r>
              <w:rPr>
                <w:rFonts w:eastAsia="Arial"/>
                <w:b/>
                <w:color w:val="111827"/>
                <w:sz w:val="19"/>
              </w:rPr>
              <w:t>Is there a benchmarking study supporting the prices you have used?</w:t>
            </w:r>
          </w:p>
          <w:p w14:paraId="21B8B794" w14:textId="119BDB24" w:rsidR="002F5239" w:rsidRDefault="002C37E7">
            <w:pPr>
              <w:spacing w:after="100" w:line="259" w:lineRule="auto"/>
            </w:pPr>
            <w:r>
              <w:rPr>
                <w:rFonts w:eastAsia="Arial"/>
                <w:color w:val="667085"/>
                <w:sz w:val="16"/>
              </w:rPr>
              <w:t>Where external comparables are relevant, do you have the benchmarking study</w:t>
            </w:r>
            <w:r w:rsidR="00000000">
              <w:rPr>
                <w:rFonts w:eastAsia="Arial"/>
                <w:color w:val="667085"/>
                <w:sz w:val="16"/>
              </w:rPr>
              <w:t>.</w:t>
            </w:r>
          </w:p>
        </w:tc>
      </w:tr>
    </w:tbl>
    <w:p w14:paraId="0991E270" w14:textId="569A472F" w:rsidR="002F5239" w:rsidRDefault="00000000">
      <w:pPr>
        <w:pBdr>
          <w:bottom w:val="single" w:sz="4" w:space="1" w:color="B88A44"/>
        </w:pBdr>
        <w:spacing w:before="200" w:after="100" w:line="240" w:lineRule="auto"/>
      </w:pPr>
      <w:r>
        <w:rPr>
          <w:rFonts w:eastAsia="Arial"/>
          <w:b/>
          <w:color w:val="152033"/>
          <w:spacing w:val="110"/>
          <w:sz w:val="20"/>
        </w:rPr>
        <w:t>COST</w:t>
      </w:r>
      <w:r w:rsidR="008522E4">
        <w:rPr>
          <w:rFonts w:eastAsia="Arial"/>
          <w:b/>
          <w:color w:val="152033"/>
          <w:spacing w:val="110"/>
          <w:sz w:val="20"/>
        </w:rPr>
        <w:t xml:space="preserve"> OF NON-COMPLIANCE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04"/>
        <w:gridCol w:w="5004"/>
      </w:tblGrid>
      <w:tr w:rsidR="002F5239" w14:paraId="37093710" w14:textId="77777777">
        <w:trPr>
          <w:jc w:val="center"/>
        </w:trPr>
        <w:tc>
          <w:tcPr>
            <w:tcW w:w="5004" w:type="dxa"/>
            <w:tcBorders>
              <w:top w:val="nil"/>
              <w:left w:val="nil"/>
              <w:bottom w:val="single" w:sz="3" w:space="0" w:color="D8DEE8"/>
              <w:right w:val="nil"/>
            </w:tcBorders>
            <w:tcMar>
              <w:top w:w="55" w:type="dxa"/>
              <w:left w:w="0" w:type="dxa"/>
              <w:bottom w:w="55" w:type="dxa"/>
              <w:right w:w="0" w:type="dxa"/>
            </w:tcMar>
          </w:tcPr>
          <w:p w14:paraId="3CA887A1" w14:textId="77777777" w:rsidR="002F5239" w:rsidRDefault="00000000">
            <w:r>
              <w:rPr>
                <w:rFonts w:eastAsia="Arial"/>
                <w:b/>
                <w:color w:val="152033"/>
                <w:sz w:val="17"/>
              </w:rPr>
              <w:t>Filing late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3" w:space="0" w:color="D8DEE8"/>
              <w:right w:val="nil"/>
            </w:tcBorders>
            <w:tcMar>
              <w:top w:w="55" w:type="dxa"/>
              <w:left w:w="0" w:type="dxa"/>
              <w:bottom w:w="55" w:type="dxa"/>
              <w:right w:w="0" w:type="dxa"/>
            </w:tcMar>
          </w:tcPr>
          <w:p w14:paraId="2867F405" w14:textId="77777777" w:rsidR="002F5239" w:rsidRDefault="00000000">
            <w:r>
              <w:rPr>
                <w:rFonts w:eastAsia="Arial"/>
                <w:color w:val="B88A44"/>
                <w:sz w:val="17"/>
              </w:rPr>
              <w:t>AED 500 per month for the first twelve months, then AED 1,000 per month</w:t>
            </w:r>
          </w:p>
        </w:tc>
      </w:tr>
      <w:tr w:rsidR="002F5239" w14:paraId="30C31E1D" w14:textId="77777777">
        <w:trPr>
          <w:jc w:val="center"/>
        </w:trPr>
        <w:tc>
          <w:tcPr>
            <w:tcW w:w="5004" w:type="dxa"/>
            <w:tcBorders>
              <w:top w:val="nil"/>
              <w:left w:val="nil"/>
              <w:bottom w:val="single" w:sz="3" w:space="0" w:color="D8DEE8"/>
              <w:right w:val="nil"/>
            </w:tcBorders>
            <w:tcMar>
              <w:top w:w="55" w:type="dxa"/>
              <w:left w:w="0" w:type="dxa"/>
              <w:bottom w:w="55" w:type="dxa"/>
              <w:right w:w="0" w:type="dxa"/>
            </w:tcMar>
          </w:tcPr>
          <w:p w14:paraId="77923315" w14:textId="77777777" w:rsidR="002F5239" w:rsidRDefault="00000000">
            <w:r>
              <w:rPr>
                <w:rFonts w:eastAsia="Arial"/>
                <w:b/>
                <w:color w:val="152033"/>
                <w:sz w:val="17"/>
              </w:rPr>
              <w:t>Tax left unpaid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3" w:space="0" w:color="D8DEE8"/>
              <w:right w:val="nil"/>
            </w:tcBorders>
            <w:tcMar>
              <w:top w:w="55" w:type="dxa"/>
              <w:left w:w="0" w:type="dxa"/>
              <w:bottom w:w="55" w:type="dxa"/>
              <w:right w:w="0" w:type="dxa"/>
            </w:tcMar>
          </w:tcPr>
          <w:p w14:paraId="3EBE9767" w14:textId="77777777" w:rsidR="002F5239" w:rsidRDefault="00000000">
            <w:r>
              <w:rPr>
                <w:rFonts w:eastAsia="Arial"/>
                <w:color w:val="B88A44"/>
                <w:sz w:val="17"/>
              </w:rPr>
              <w:t>14% a year on the unsettled amount, applied monthly</w:t>
            </w:r>
          </w:p>
        </w:tc>
      </w:tr>
      <w:tr w:rsidR="002F5239" w14:paraId="1B622130" w14:textId="77777777">
        <w:trPr>
          <w:jc w:val="center"/>
        </w:trPr>
        <w:tc>
          <w:tcPr>
            <w:tcW w:w="5004" w:type="dxa"/>
            <w:tcBorders>
              <w:top w:val="single" w:sz="5" w:space="0" w:color="B88A44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70" w:type="dxa"/>
              <w:right w:w="0" w:type="dxa"/>
            </w:tcMar>
          </w:tcPr>
          <w:p w14:paraId="2CF67A53" w14:textId="77777777" w:rsidR="002F5239" w:rsidRDefault="00000000">
            <w:pPr>
              <w:spacing w:after="80" w:line="240" w:lineRule="auto"/>
            </w:pPr>
            <w:r>
              <w:rPr>
                <w:rFonts w:ascii="Georgia" w:eastAsia="Georgia" w:hAnsi="Georgia"/>
                <w:color w:val="152033"/>
                <w:sz w:val="32"/>
              </w:rPr>
              <w:t>Where this leaves you</w:t>
            </w:r>
          </w:p>
          <w:p w14:paraId="06BF8FC8" w14:textId="77777777" w:rsidR="002F5239" w:rsidRDefault="00000000">
            <w:pPr>
              <w:spacing w:after="0" w:line="288" w:lineRule="auto"/>
            </w:pPr>
            <w:r>
              <w:rPr>
                <w:rFonts w:eastAsia="Arial"/>
                <w:color w:val="667085"/>
                <w:sz w:val="16"/>
              </w:rPr>
              <w:t>A line you could not answer with confidence is not a failure — it is the part of the filing worth a second pair of eyes before 30 September. The costly positions are rarely the obvious ones: a free zone condition assumed rather than tested, a related-party balance nobody priced, an election made in the return that cannot be reversed.</w:t>
            </w:r>
          </w:p>
        </w:tc>
        <w:tc>
          <w:tcPr>
            <w:tcW w:w="5004" w:type="dxa"/>
            <w:tcBorders>
              <w:top w:val="single" w:sz="5" w:space="0" w:color="B88A44"/>
              <w:left w:val="nil"/>
              <w:bottom w:val="nil"/>
              <w:right w:val="nil"/>
            </w:tcBorders>
            <w:shd w:val="clear" w:color="auto" w:fill="0B1324"/>
            <w:tcMar>
              <w:top w:w="120" w:type="dxa"/>
              <w:left w:w="130" w:type="dxa"/>
              <w:bottom w:w="110" w:type="dxa"/>
              <w:right w:w="130" w:type="dxa"/>
            </w:tcMar>
          </w:tcPr>
          <w:p w14:paraId="7DFBA606" w14:textId="77777777" w:rsidR="002F5239" w:rsidRDefault="00000000">
            <w:pPr>
              <w:spacing w:after="140" w:line="240" w:lineRule="auto"/>
            </w:pPr>
            <w:r>
              <w:rPr>
                <w:rFonts w:eastAsia="Arial"/>
                <w:b/>
                <w:color w:val="C89A54"/>
                <w:spacing w:val="130"/>
                <w:sz w:val="14"/>
              </w:rPr>
              <w:t>NEXT STEP</w:t>
            </w:r>
          </w:p>
          <w:p w14:paraId="3A1D2120" w14:textId="77777777" w:rsidR="002F5239" w:rsidRDefault="00000000">
            <w:pPr>
              <w:spacing w:after="120" w:line="269" w:lineRule="auto"/>
            </w:pPr>
            <w:r>
              <w:rPr>
                <w:rFonts w:eastAsia="Arial"/>
                <w:color w:val="FFFFFF"/>
                <w:sz w:val="16"/>
              </w:rPr>
              <w:t>Have a senior reviewer check your position before you file.</w:t>
            </w:r>
          </w:p>
          <w:p w14:paraId="0A8CA6AA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E3B96F"/>
                <w:sz w:val="16"/>
              </w:rPr>
              <w:t>info@finactuae.com</w:t>
            </w:r>
          </w:p>
          <w:p w14:paraId="50E279A9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D8DDE8"/>
                <w:sz w:val="16"/>
              </w:rPr>
              <w:t>+971 50 516 4914</w:t>
            </w:r>
          </w:p>
        </w:tc>
      </w:tr>
    </w:tbl>
    <w:p w14:paraId="1E9FEB48" w14:textId="77777777" w:rsidR="002F5239" w:rsidRDefault="00000000">
      <w:pPr>
        <w:pBdr>
          <w:bottom w:val="single" w:sz="3" w:space="1" w:color="D8DEE8"/>
        </w:pBdr>
        <w:spacing w:before="200" w:after="80"/>
      </w:pPr>
      <w:r>
        <w:rPr>
          <w:rFonts w:eastAsia="Arial"/>
          <w:color w:val="8B98AA"/>
          <w:sz w:val="13"/>
        </w:rPr>
        <w:t>General information about UAE Corporate Tax as at August 2026, prepared for UAE businesses with a 31 December 2025 financial year-end. It is not tax advice and does not create a client relationship. Thresholds, deadlines and penalties depend on your own tax period and circumstances, and the law and guidance change — check your position before relying on any figure here.</w:t>
      </w:r>
    </w:p>
    <w:p w14:paraId="7811EF83" w14:textId="77777777" w:rsidR="002F5239" w:rsidRDefault="002F5239">
      <w:pPr>
        <w:pBdr>
          <w:bottom w:val="single" w:sz="4" w:space="1" w:color="D8DEE8"/>
        </w:pBdr>
        <w:spacing w:before="220"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04"/>
        <w:gridCol w:w="5004"/>
      </w:tblGrid>
      <w:tr w:rsidR="002F5239" w14:paraId="4ECF71B9" w14:textId="77777777">
        <w:trPr>
          <w:jc w:val="center"/>
        </w:trPr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631E63EE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8B98AA"/>
                <w:sz w:val="12"/>
              </w:rPr>
              <w:t>FINACT Consultancy LLC  ·  Goldcrest Executive Tower, Cluster C, Jumeirah Lake Towers, Dubai, UAE</w:t>
            </w:r>
          </w:p>
          <w:p w14:paraId="1FEC9EAB" w14:textId="77777777" w:rsidR="002F5239" w:rsidRDefault="00000000">
            <w:pPr>
              <w:spacing w:after="0" w:line="240" w:lineRule="auto"/>
            </w:pPr>
            <w:r>
              <w:rPr>
                <w:rFonts w:eastAsia="Arial"/>
                <w:color w:val="667085"/>
                <w:sz w:val="12"/>
              </w:rPr>
              <w:t>info@finactuae.com   ·   +971 50 516 4914   ·   finactuae.com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538FCD9A" w14:textId="77777777" w:rsidR="002F5239" w:rsidRDefault="00000000">
            <w:pPr>
              <w:spacing w:after="0" w:line="240" w:lineRule="auto"/>
              <w:jc w:val="right"/>
            </w:pPr>
            <w:r>
              <w:rPr>
                <w:rFonts w:eastAsia="Arial"/>
                <w:color w:val="8B98AA"/>
                <w:spacing w:val="100"/>
                <w:sz w:val="13"/>
              </w:rPr>
              <w:t>PAGE 2 OF 2</w:t>
            </w:r>
          </w:p>
        </w:tc>
      </w:tr>
    </w:tbl>
    <w:p w14:paraId="074AABD0" w14:textId="77777777" w:rsidR="00172646" w:rsidRDefault="00172646"/>
    <w:sectPr w:rsidR="00172646" w:rsidSect="00034616">
      <w:pgSz w:w="11909" w:h="16834"/>
      <w:pgMar w:top="0" w:right="950" w:bottom="216" w:left="950" w:header="0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9687965">
    <w:abstractNumId w:val="8"/>
  </w:num>
  <w:num w:numId="2" w16cid:durableId="143010841">
    <w:abstractNumId w:val="6"/>
  </w:num>
  <w:num w:numId="3" w16cid:durableId="1925797507">
    <w:abstractNumId w:val="5"/>
  </w:num>
  <w:num w:numId="4" w16cid:durableId="1194222144">
    <w:abstractNumId w:val="4"/>
  </w:num>
  <w:num w:numId="5" w16cid:durableId="596133279">
    <w:abstractNumId w:val="7"/>
  </w:num>
  <w:num w:numId="6" w16cid:durableId="472063235">
    <w:abstractNumId w:val="3"/>
  </w:num>
  <w:num w:numId="7" w16cid:durableId="1467353853">
    <w:abstractNumId w:val="2"/>
  </w:num>
  <w:num w:numId="8" w16cid:durableId="2018146147">
    <w:abstractNumId w:val="1"/>
  </w:num>
  <w:num w:numId="9" w16cid:durableId="182223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E3E"/>
    <w:rsid w:val="0015074B"/>
    <w:rsid w:val="00172646"/>
    <w:rsid w:val="001C7051"/>
    <w:rsid w:val="0029639D"/>
    <w:rsid w:val="002C37E7"/>
    <w:rsid w:val="002F5239"/>
    <w:rsid w:val="00326F90"/>
    <w:rsid w:val="00331A8E"/>
    <w:rsid w:val="004228A1"/>
    <w:rsid w:val="00594A77"/>
    <w:rsid w:val="007C20B3"/>
    <w:rsid w:val="008522E4"/>
    <w:rsid w:val="00AA1D8D"/>
    <w:rsid w:val="00B47730"/>
    <w:rsid w:val="00CB0664"/>
    <w:rsid w:val="00ED6A1C"/>
    <w:rsid w:val="00F005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2AB8F"/>
  <w14:defaultImageDpi w14:val="300"/>
  <w15:docId w15:val="{D38F6577-5E95-4B4C-AE7B-E46335C6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4841</Characters>
  <Application>Microsoft Office Word</Application>
  <DocSecurity>0</DocSecurity>
  <Lines>110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FINACT Consultancy LLC</Company>
  <LinksUpToDate>false</LinksUpToDate>
  <CharactersWithSpaces>5652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UAE Corporate Tax &amp; Transfer Pricing Risk Checklist</dc:title>
  <dc:subject>Corporate Tax filing readiness for 31 December 2025 year-ends</dc:subject>
  <dc:creator>FINACT Consultancy LLC</dc:creator>
  <cp:keywords/>
  <dc:description/>
  <cp:lastModifiedBy>FINACT Consultancy LLC</cp:lastModifiedBy>
  <cp:revision>1</cp:revision>
  <cp:category/>
</cp:coreProperties>
</file>